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68F4" w14:textId="77777777" w:rsidR="004C29E0" w:rsidRPr="002536ED" w:rsidRDefault="004C29E0" w:rsidP="004C29E0">
      <w:pPr>
        <w:spacing w:after="0" w:line="360" w:lineRule="auto"/>
        <w:jc w:val="center"/>
        <w:rPr>
          <w:rFonts w:ascii="TimesNewRomanPSMT" w:hAnsi="TimesNewRomanPSMT"/>
          <w:b/>
          <w:smallCaps/>
          <w:color w:val="000000"/>
          <w:sz w:val="32"/>
          <w:szCs w:val="28"/>
        </w:rPr>
      </w:pPr>
      <w:bookmarkStart w:id="0" w:name="_Toc76988211"/>
      <w:r w:rsidRPr="002536ED">
        <w:rPr>
          <w:rFonts w:ascii="TimesNewRomanPSMT" w:hAnsi="TimesNewRomanPSMT"/>
          <w:b/>
          <w:smallCaps/>
          <w:color w:val="000000"/>
          <w:sz w:val="32"/>
          <w:szCs w:val="28"/>
        </w:rPr>
        <w:t xml:space="preserve">Państwowy Instytut Weterynaryjny </w:t>
      </w:r>
    </w:p>
    <w:p w14:paraId="7D7934E0" w14:textId="77777777" w:rsidR="004C29E0" w:rsidRPr="002536ED" w:rsidRDefault="004C29E0" w:rsidP="004C29E0">
      <w:pPr>
        <w:spacing w:after="0" w:line="360" w:lineRule="auto"/>
        <w:jc w:val="center"/>
        <w:rPr>
          <w:rFonts w:ascii="TimesNewRomanPSMT" w:hAnsi="TimesNewRomanPSMT"/>
          <w:b/>
          <w:smallCaps/>
          <w:color w:val="000000"/>
          <w:sz w:val="32"/>
          <w:szCs w:val="28"/>
        </w:rPr>
      </w:pPr>
      <w:r w:rsidRPr="002536ED">
        <w:rPr>
          <w:rFonts w:ascii="TimesNewRomanPSMT" w:hAnsi="TimesNewRomanPSMT"/>
          <w:b/>
          <w:smallCaps/>
          <w:color w:val="000000"/>
          <w:sz w:val="32"/>
          <w:szCs w:val="28"/>
        </w:rPr>
        <w:t>Państwowy Instytut Badawczy w</w:t>
      </w:r>
      <w:r w:rsidRPr="002536ED">
        <w:rPr>
          <w:rFonts w:ascii="TimesNewRomanPSMT" w:hAnsi="TimesNewRomanPSMT" w:hint="eastAsia"/>
          <w:b/>
          <w:smallCaps/>
          <w:color w:val="000000"/>
          <w:sz w:val="32"/>
          <w:szCs w:val="28"/>
        </w:rPr>
        <w:t xml:space="preserve"> </w:t>
      </w:r>
      <w:r w:rsidRPr="002536ED">
        <w:rPr>
          <w:rFonts w:ascii="TimesNewRomanPSMT" w:hAnsi="TimesNewRomanPSMT"/>
          <w:b/>
          <w:smallCaps/>
          <w:color w:val="000000"/>
          <w:sz w:val="32"/>
          <w:szCs w:val="28"/>
        </w:rPr>
        <w:t>Puławach</w:t>
      </w:r>
    </w:p>
    <w:p w14:paraId="2DEE6638" w14:textId="77777777" w:rsidR="004C29E0" w:rsidRPr="002536ED" w:rsidRDefault="004C29E0" w:rsidP="004C29E0">
      <w:pPr>
        <w:spacing w:after="0" w:line="360" w:lineRule="auto"/>
        <w:jc w:val="center"/>
        <w:rPr>
          <w:b/>
          <w:smallCaps/>
          <w:sz w:val="28"/>
        </w:rPr>
      </w:pPr>
    </w:p>
    <w:p w14:paraId="2DD43B1A" w14:textId="77777777" w:rsidR="004C29E0" w:rsidRPr="002536ED" w:rsidRDefault="004C29E0" w:rsidP="004C29E0">
      <w:pPr>
        <w:spacing w:after="0" w:line="259" w:lineRule="auto"/>
        <w:jc w:val="center"/>
        <w:rPr>
          <w:rFonts w:ascii="TimesNewRomanPSMT" w:hAnsi="TimesNewRomanPSMT"/>
          <w:smallCaps/>
          <w:color w:val="000000"/>
          <w:sz w:val="28"/>
          <w:szCs w:val="28"/>
        </w:rPr>
      </w:pPr>
      <w:r w:rsidRPr="002536ED">
        <w:rPr>
          <w:smallCaps/>
          <w:noProof/>
          <w:lang w:eastAsia="pl-PL"/>
        </w:rPr>
        <w:drawing>
          <wp:inline distT="0" distB="0" distL="0" distR="0" wp14:anchorId="0E14548B" wp14:editId="3CFC0767">
            <wp:extent cx="2018581" cy="1177147"/>
            <wp:effectExtent l="0" t="0" r="1270" b="4445"/>
            <wp:docPr id="1" name="Obraz 1" descr="R:\Wojtek\EFSA\2020\logo GIF 2016 zielone przezroczy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ojtek\EFSA\2020\logo GIF 2016 zielone przezroczys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2" cy="1183860"/>
                    </a:xfrm>
                    <a:prstGeom prst="rect">
                      <a:avLst/>
                    </a:prstGeom>
                    <a:noFill/>
                    <a:ln>
                      <a:noFill/>
                    </a:ln>
                  </pic:spPr>
                </pic:pic>
              </a:graphicData>
            </a:graphic>
          </wp:inline>
        </w:drawing>
      </w:r>
    </w:p>
    <w:p w14:paraId="41EC163C" w14:textId="77777777" w:rsidR="004C29E0" w:rsidRPr="002536ED" w:rsidRDefault="004C29E0" w:rsidP="004C29E0">
      <w:pPr>
        <w:spacing w:after="0" w:line="259" w:lineRule="auto"/>
        <w:jc w:val="center"/>
        <w:rPr>
          <w:rFonts w:ascii="TimesNewRomanPSMT" w:hAnsi="TimesNewRomanPSMT"/>
          <w:smallCaps/>
          <w:color w:val="000000"/>
          <w:sz w:val="28"/>
          <w:szCs w:val="28"/>
        </w:rPr>
      </w:pPr>
    </w:p>
    <w:p w14:paraId="191DC1B5" w14:textId="77777777" w:rsidR="004C29E0" w:rsidRPr="002536ED" w:rsidRDefault="004C29E0" w:rsidP="004C29E0">
      <w:pPr>
        <w:spacing w:after="0" w:line="259" w:lineRule="auto"/>
        <w:jc w:val="center"/>
        <w:rPr>
          <w:rFonts w:ascii="TimesNewRomanPSMT" w:hAnsi="TimesNewRomanPSMT"/>
          <w:smallCaps/>
          <w:color w:val="000000"/>
          <w:sz w:val="32"/>
          <w:szCs w:val="28"/>
        </w:rPr>
      </w:pPr>
      <w:r w:rsidRPr="002536ED">
        <w:rPr>
          <w:rFonts w:ascii="TimesNewRomanPSMT" w:hAnsi="TimesNewRomanPSMT"/>
          <w:smallCaps/>
          <w:color w:val="000000"/>
          <w:sz w:val="32"/>
          <w:szCs w:val="28"/>
        </w:rPr>
        <w:t>Zakład Radiobiologii</w:t>
      </w:r>
    </w:p>
    <w:p w14:paraId="259D024A" w14:textId="77777777" w:rsidR="004C29E0" w:rsidRPr="002536ED" w:rsidRDefault="004C29E0" w:rsidP="004C29E0">
      <w:pPr>
        <w:spacing w:after="0" w:line="259" w:lineRule="auto"/>
        <w:rPr>
          <w:rFonts w:ascii="TimesNewRomanPSMT" w:hAnsi="TimesNewRomanPSMT"/>
          <w:smallCaps/>
          <w:color w:val="000000"/>
          <w:sz w:val="28"/>
          <w:szCs w:val="28"/>
        </w:rPr>
      </w:pPr>
    </w:p>
    <w:p w14:paraId="136D99F1" w14:textId="77777777" w:rsidR="004C29E0" w:rsidRPr="002536ED" w:rsidRDefault="004C29E0" w:rsidP="004C29E0">
      <w:pPr>
        <w:spacing w:after="0" w:line="259" w:lineRule="auto"/>
        <w:jc w:val="center"/>
        <w:rPr>
          <w:smallCaps/>
        </w:rPr>
      </w:pPr>
    </w:p>
    <w:p w14:paraId="6EB769D8" w14:textId="77777777" w:rsidR="004C29E0" w:rsidRPr="002536ED" w:rsidRDefault="004C29E0" w:rsidP="004C29E0">
      <w:pPr>
        <w:spacing w:after="0" w:line="259" w:lineRule="auto"/>
        <w:jc w:val="center"/>
        <w:rPr>
          <w:smallCaps/>
        </w:rPr>
      </w:pPr>
    </w:p>
    <w:p w14:paraId="0D64859F" w14:textId="77777777" w:rsidR="004C29E0" w:rsidRPr="002536ED" w:rsidRDefault="004C29E0" w:rsidP="004C29E0">
      <w:pPr>
        <w:spacing w:after="0" w:line="259" w:lineRule="auto"/>
        <w:jc w:val="center"/>
        <w:rPr>
          <w:smallCaps/>
        </w:rPr>
      </w:pPr>
    </w:p>
    <w:p w14:paraId="6466EBDE" w14:textId="77777777" w:rsidR="004C29E0" w:rsidRPr="002536ED" w:rsidRDefault="004C29E0" w:rsidP="004C29E0">
      <w:pPr>
        <w:spacing w:after="0" w:line="259" w:lineRule="auto"/>
        <w:jc w:val="center"/>
        <w:rPr>
          <w:smallCaps/>
        </w:rPr>
      </w:pPr>
    </w:p>
    <w:p w14:paraId="5B738BF3" w14:textId="77777777" w:rsidR="004C29E0" w:rsidRPr="002536ED" w:rsidRDefault="004C29E0" w:rsidP="004C29E0">
      <w:pPr>
        <w:spacing w:after="0" w:line="259" w:lineRule="auto"/>
        <w:jc w:val="center"/>
        <w:rPr>
          <w:rFonts w:ascii="Times New Roman" w:eastAsia="Arial" w:hAnsi="Times New Roman" w:cs="Arial"/>
          <w:color w:val="000000"/>
          <w:sz w:val="40"/>
          <w:lang w:eastAsia="pl-PL"/>
        </w:rPr>
      </w:pPr>
      <w:r w:rsidRPr="002536ED">
        <w:rPr>
          <w:rFonts w:ascii="Times New Roman" w:eastAsia="Arial" w:hAnsi="Times New Roman" w:cs="Arial"/>
          <w:color w:val="000000"/>
          <w:sz w:val="40"/>
          <w:lang w:eastAsia="pl-PL"/>
        </w:rPr>
        <w:t>Wojciech Pietroń</w:t>
      </w:r>
    </w:p>
    <w:p w14:paraId="7ACCBD1E" w14:textId="77777777" w:rsidR="004C29E0" w:rsidRPr="002536ED" w:rsidRDefault="004C29E0" w:rsidP="004C29E0">
      <w:pPr>
        <w:spacing w:after="0" w:line="259" w:lineRule="auto"/>
        <w:jc w:val="center"/>
        <w:rPr>
          <w:rFonts w:ascii="Times New Roman" w:eastAsia="Arial" w:hAnsi="Times New Roman" w:cs="Arial"/>
          <w:b/>
          <w:smallCaps/>
          <w:color w:val="000000"/>
          <w:sz w:val="36"/>
          <w:lang w:eastAsia="pl-PL"/>
        </w:rPr>
      </w:pPr>
    </w:p>
    <w:p w14:paraId="1B8031EB" w14:textId="77777777" w:rsidR="004C29E0" w:rsidRPr="002536ED" w:rsidRDefault="004C29E0" w:rsidP="004C29E0">
      <w:pPr>
        <w:spacing w:after="0" w:line="259" w:lineRule="auto"/>
        <w:jc w:val="center"/>
        <w:rPr>
          <w:rFonts w:ascii="Times New Roman" w:eastAsia="Arial" w:hAnsi="Times New Roman" w:cs="Arial"/>
          <w:b/>
          <w:color w:val="000000"/>
          <w:sz w:val="40"/>
          <w:lang w:eastAsia="pl-PL"/>
        </w:rPr>
      </w:pPr>
      <w:r w:rsidRPr="002536ED">
        <w:rPr>
          <w:rFonts w:ascii="Times New Roman" w:eastAsia="Arial" w:hAnsi="Times New Roman" w:cs="Arial"/>
          <w:b/>
          <w:color w:val="000000"/>
          <w:sz w:val="40"/>
          <w:lang w:eastAsia="pl-PL"/>
        </w:rPr>
        <w:t>Występowanie polibromowanych difenyloeterów w żywności pochodzenia zwierzęcego</w:t>
      </w:r>
    </w:p>
    <w:p w14:paraId="2007CE54" w14:textId="77777777" w:rsidR="004C29E0" w:rsidRPr="002536ED" w:rsidRDefault="004C29E0" w:rsidP="004C29E0">
      <w:pPr>
        <w:spacing w:after="0" w:line="259" w:lineRule="auto"/>
        <w:jc w:val="center"/>
        <w:rPr>
          <w:rFonts w:ascii="Times New Roman" w:eastAsia="Arial" w:hAnsi="Times New Roman" w:cs="Arial"/>
          <w:smallCaps/>
          <w:color w:val="000000"/>
          <w:sz w:val="36"/>
          <w:lang w:eastAsia="pl-PL"/>
        </w:rPr>
      </w:pPr>
    </w:p>
    <w:p w14:paraId="66832AB4" w14:textId="77777777" w:rsidR="004C29E0" w:rsidRPr="002536ED" w:rsidRDefault="004C29E0" w:rsidP="004C29E0">
      <w:pPr>
        <w:spacing w:after="0" w:line="259" w:lineRule="auto"/>
        <w:jc w:val="center"/>
        <w:rPr>
          <w:rFonts w:ascii="Times New Roman" w:eastAsia="Arial" w:hAnsi="Times New Roman" w:cs="Arial"/>
          <w:smallCaps/>
          <w:color w:val="000000"/>
          <w:sz w:val="32"/>
          <w:lang w:eastAsia="pl-PL"/>
        </w:rPr>
      </w:pPr>
    </w:p>
    <w:p w14:paraId="510A3273" w14:textId="77777777" w:rsidR="004C29E0" w:rsidRPr="002536ED" w:rsidRDefault="004C29E0" w:rsidP="004C29E0">
      <w:pPr>
        <w:spacing w:after="0" w:line="259" w:lineRule="auto"/>
        <w:jc w:val="center"/>
        <w:rPr>
          <w:rFonts w:ascii="Times New Roman" w:eastAsia="Arial" w:hAnsi="Times New Roman" w:cs="Arial"/>
          <w:smallCaps/>
          <w:color w:val="000000"/>
          <w:sz w:val="40"/>
          <w:lang w:eastAsia="pl-PL"/>
        </w:rPr>
      </w:pPr>
      <w:r w:rsidRPr="002536ED">
        <w:rPr>
          <w:rFonts w:ascii="Times New Roman" w:eastAsia="Arial" w:hAnsi="Times New Roman" w:cs="Arial"/>
          <w:smallCaps/>
          <w:color w:val="000000"/>
          <w:sz w:val="40"/>
          <w:lang w:eastAsia="pl-PL"/>
        </w:rPr>
        <w:t>Rozprawa doktorska</w:t>
      </w:r>
    </w:p>
    <w:p w14:paraId="0F3E57AC"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65B6188E"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15D8ECD6"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3E027AC6"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002CDE24"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5452C73F"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06B29043"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0B550A13" w14:textId="77777777" w:rsidR="004C29E0" w:rsidRPr="002536ED" w:rsidRDefault="004C29E0" w:rsidP="004C29E0">
      <w:pPr>
        <w:spacing w:after="0" w:line="259" w:lineRule="auto"/>
        <w:jc w:val="center"/>
        <w:rPr>
          <w:rFonts w:ascii="Times New Roman" w:eastAsia="Arial" w:hAnsi="Times New Roman" w:cs="Arial"/>
          <w:b/>
          <w:color w:val="000000"/>
          <w:sz w:val="36"/>
          <w:lang w:eastAsia="pl-PL"/>
        </w:rPr>
      </w:pPr>
    </w:p>
    <w:p w14:paraId="58702310" w14:textId="77777777" w:rsidR="004C29E0" w:rsidRPr="002536ED" w:rsidRDefault="004C29E0" w:rsidP="004C29E0">
      <w:pPr>
        <w:spacing w:after="0" w:line="259" w:lineRule="auto"/>
        <w:jc w:val="center"/>
        <w:rPr>
          <w:rFonts w:ascii="Times New Roman" w:eastAsia="Arial" w:hAnsi="Times New Roman" w:cs="Arial"/>
          <w:color w:val="000000"/>
          <w:sz w:val="28"/>
          <w:lang w:eastAsia="pl-PL"/>
        </w:rPr>
      </w:pPr>
      <w:r w:rsidRPr="002536ED">
        <w:rPr>
          <w:rFonts w:ascii="Times New Roman" w:eastAsia="Arial" w:hAnsi="Times New Roman" w:cs="Arial"/>
          <w:color w:val="000000"/>
          <w:sz w:val="28"/>
          <w:lang w:eastAsia="pl-PL"/>
        </w:rPr>
        <w:t>Puławy 2021</w:t>
      </w:r>
    </w:p>
    <w:p w14:paraId="4CAD0737" w14:textId="77777777" w:rsidR="004C29E0" w:rsidRPr="002536ED" w:rsidRDefault="004C29E0" w:rsidP="004C29E0">
      <w:pPr>
        <w:spacing w:after="0" w:line="259" w:lineRule="auto"/>
        <w:rPr>
          <w:rFonts w:ascii="Times New Roman" w:hAnsi="Times New Roman" w:cs="Times New Roman"/>
          <w:sz w:val="24"/>
          <w:szCs w:val="24"/>
        </w:rPr>
      </w:pPr>
    </w:p>
    <w:p w14:paraId="6A6884D5" w14:textId="7272B063" w:rsidR="004C29E0" w:rsidRDefault="004C29E0" w:rsidP="004C29E0">
      <w:pPr>
        <w:spacing w:before="120" w:after="240"/>
        <w:outlineLvl w:val="0"/>
        <w:rPr>
          <w:rFonts w:ascii="Times New Roman" w:eastAsia="Arial" w:hAnsi="Times New Roman" w:cs="Times New Roman"/>
          <w:b/>
          <w:color w:val="000000"/>
          <w:sz w:val="36"/>
          <w:szCs w:val="24"/>
          <w:lang w:eastAsia="pl-PL"/>
        </w:rPr>
      </w:pPr>
    </w:p>
    <w:p w14:paraId="46BCDF82" w14:textId="77777777" w:rsidR="004C29E0" w:rsidRPr="002536ED" w:rsidRDefault="004C29E0" w:rsidP="004C29E0">
      <w:pPr>
        <w:spacing w:before="120" w:after="240"/>
        <w:ind w:left="284"/>
        <w:outlineLvl w:val="0"/>
        <w:rPr>
          <w:rFonts w:ascii="Times New Roman" w:eastAsia="Arial" w:hAnsi="Times New Roman" w:cs="Times New Roman"/>
          <w:b/>
          <w:color w:val="000000"/>
          <w:sz w:val="36"/>
          <w:szCs w:val="24"/>
          <w:lang w:eastAsia="pl-PL"/>
        </w:rPr>
      </w:pPr>
      <w:bookmarkStart w:id="1" w:name="_Toc76988182"/>
      <w:r w:rsidRPr="002536ED">
        <w:rPr>
          <w:rFonts w:ascii="Times New Roman" w:eastAsia="Arial" w:hAnsi="Times New Roman" w:cs="Times New Roman"/>
          <w:b/>
          <w:color w:val="000000"/>
          <w:sz w:val="36"/>
          <w:szCs w:val="24"/>
          <w:lang w:eastAsia="pl-PL"/>
        </w:rPr>
        <w:lastRenderedPageBreak/>
        <w:t>Wykaz publikacji składających się na rozprawę doktorską:</w:t>
      </w:r>
      <w:bookmarkEnd w:id="1"/>
    </w:p>
    <w:p w14:paraId="56D748EE" w14:textId="77777777" w:rsidR="004C29E0" w:rsidRPr="002536ED" w:rsidRDefault="004C29E0" w:rsidP="004C29E0">
      <w:pPr>
        <w:tabs>
          <w:tab w:val="right" w:pos="8788"/>
        </w:tabs>
        <w:spacing w:after="160" w:line="259" w:lineRule="auto"/>
        <w:rPr>
          <w:rFonts w:ascii="Times New Roman" w:hAnsi="Times New Roman" w:cs="Times New Roman"/>
          <w:b/>
          <w:sz w:val="28"/>
        </w:rPr>
      </w:pPr>
      <w:r w:rsidRPr="002536ED">
        <w:rPr>
          <w:rFonts w:ascii="Times New Roman" w:hAnsi="Times New Roman" w:cs="Times New Roman"/>
          <w:b/>
          <w:sz w:val="28"/>
        </w:rPr>
        <w:t>Praca przeglądowa</w:t>
      </w:r>
      <w:r w:rsidRPr="002536ED">
        <w:rPr>
          <w:rFonts w:ascii="Times New Roman" w:hAnsi="Times New Roman" w:cs="Times New Roman"/>
          <w:b/>
          <w:sz w:val="28"/>
        </w:rPr>
        <w:tab/>
      </w:r>
    </w:p>
    <w:p w14:paraId="1C15AFF9" w14:textId="77777777" w:rsidR="004C29E0" w:rsidRPr="002536ED" w:rsidRDefault="004C29E0" w:rsidP="004C29E0">
      <w:pPr>
        <w:numPr>
          <w:ilvl w:val="0"/>
          <w:numId w:val="1"/>
        </w:numPr>
        <w:spacing w:before="100" w:beforeAutospacing="1" w:after="100" w:afterAutospacing="1" w:line="259" w:lineRule="auto"/>
        <w:contextualSpacing/>
        <w:jc w:val="both"/>
        <w:rPr>
          <w:rFonts w:ascii="Times New Roman" w:eastAsia="Times New Roman" w:hAnsi="Times New Roman" w:cs="Times New Roman"/>
          <w:sz w:val="24"/>
          <w:szCs w:val="24"/>
          <w:lang w:val="en-US" w:eastAsia="pl-PL"/>
        </w:rPr>
      </w:pPr>
      <w:r w:rsidRPr="002536ED">
        <w:rPr>
          <w:rFonts w:ascii="Times New Roman" w:eastAsia="Times New Roman" w:hAnsi="Times New Roman" w:cs="Times New Roman"/>
          <w:b/>
          <w:sz w:val="24"/>
          <w:szCs w:val="24"/>
          <w:lang w:eastAsia="pl-PL"/>
        </w:rPr>
        <w:t>Pietroń W.J.</w:t>
      </w:r>
      <w:r w:rsidRPr="002536ED">
        <w:rPr>
          <w:rFonts w:ascii="Times New Roman" w:eastAsia="Times New Roman" w:hAnsi="Times New Roman" w:cs="Times New Roman"/>
          <w:sz w:val="24"/>
          <w:szCs w:val="24"/>
          <w:lang w:eastAsia="pl-PL"/>
        </w:rPr>
        <w:t xml:space="preserve">, Małagocki P., 2017. </w:t>
      </w:r>
      <w:r w:rsidRPr="002536ED">
        <w:rPr>
          <w:rFonts w:ascii="Times New Roman" w:eastAsia="Times New Roman" w:hAnsi="Times New Roman" w:cs="Times New Roman"/>
          <w:sz w:val="24"/>
          <w:szCs w:val="24"/>
          <w:lang w:val="en-US" w:eastAsia="pl-PL"/>
        </w:rPr>
        <w:t xml:space="preserve">Quantification of polybrominated diphenyl ethers (PBDEs) in food. A review. </w:t>
      </w:r>
      <w:r w:rsidRPr="002536ED">
        <w:rPr>
          <w:rFonts w:ascii="Times New Roman" w:eastAsia="Times New Roman" w:hAnsi="Times New Roman" w:cs="Times New Roman"/>
          <w:i/>
          <w:sz w:val="24"/>
          <w:szCs w:val="24"/>
          <w:lang w:val="en-US" w:eastAsia="pl-PL"/>
        </w:rPr>
        <w:t>Talanta</w:t>
      </w:r>
      <w:r w:rsidRPr="002536ED">
        <w:rPr>
          <w:rFonts w:ascii="Times New Roman" w:eastAsia="Times New Roman" w:hAnsi="Times New Roman" w:cs="Times New Roman"/>
          <w:sz w:val="24"/>
          <w:szCs w:val="24"/>
          <w:lang w:val="en-US" w:eastAsia="pl-PL"/>
        </w:rPr>
        <w:t xml:space="preserve"> 167, 411–427.</w:t>
      </w:r>
    </w:p>
    <w:p w14:paraId="070CB150" w14:textId="77777777" w:rsidR="004C29E0" w:rsidRPr="002536ED" w:rsidRDefault="00AC2424" w:rsidP="004C29E0">
      <w:pPr>
        <w:spacing w:before="100" w:beforeAutospacing="1" w:after="100" w:afterAutospacing="1"/>
        <w:ind w:left="720"/>
        <w:contextualSpacing/>
        <w:jc w:val="both"/>
        <w:rPr>
          <w:rFonts w:ascii="Times New Roman" w:eastAsia="Times New Roman" w:hAnsi="Times New Roman" w:cs="Times New Roman"/>
          <w:color w:val="0563C1" w:themeColor="hyperlink"/>
          <w:sz w:val="24"/>
          <w:szCs w:val="24"/>
          <w:u w:val="single"/>
          <w:lang w:val="en-US" w:eastAsia="pl-PL"/>
        </w:rPr>
      </w:pPr>
      <w:hyperlink r:id="rId9" w:history="1">
        <w:r w:rsidR="004C29E0" w:rsidRPr="002536ED">
          <w:rPr>
            <w:rFonts w:ascii="Times New Roman" w:eastAsia="Times New Roman" w:hAnsi="Times New Roman" w:cs="Times New Roman"/>
            <w:color w:val="0563C1" w:themeColor="hyperlink"/>
            <w:sz w:val="24"/>
            <w:szCs w:val="24"/>
            <w:u w:val="single"/>
            <w:lang w:val="en-US" w:eastAsia="pl-PL"/>
          </w:rPr>
          <w:t>https://doi.org/10.1016/j.talanta.2017.02.043</w:t>
        </w:r>
      </w:hyperlink>
    </w:p>
    <w:p w14:paraId="12481B0B" w14:textId="77777777" w:rsidR="004C29E0" w:rsidRPr="002536ED" w:rsidRDefault="004C29E0" w:rsidP="004C29E0">
      <w:pPr>
        <w:tabs>
          <w:tab w:val="left" w:pos="6632"/>
        </w:tabs>
        <w:spacing w:after="160" w:line="259" w:lineRule="auto"/>
        <w:rPr>
          <w:rFonts w:ascii="Times New Roman" w:hAnsi="Times New Roman" w:cs="Times New Roman"/>
          <w:b/>
          <w:sz w:val="28"/>
        </w:rPr>
      </w:pPr>
      <w:r w:rsidRPr="002536ED">
        <w:rPr>
          <w:rFonts w:ascii="Times New Roman" w:hAnsi="Times New Roman" w:cs="Times New Roman"/>
          <w:b/>
          <w:sz w:val="28"/>
        </w:rPr>
        <w:t>Prace doświadczalne</w:t>
      </w:r>
      <w:r w:rsidRPr="002536ED">
        <w:rPr>
          <w:rFonts w:ascii="Times New Roman" w:hAnsi="Times New Roman" w:cs="Times New Roman"/>
          <w:b/>
          <w:sz w:val="28"/>
        </w:rPr>
        <w:tab/>
      </w:r>
    </w:p>
    <w:p w14:paraId="73422DA4" w14:textId="77777777" w:rsidR="004C29E0" w:rsidRPr="002536ED" w:rsidRDefault="004C29E0" w:rsidP="004C29E0">
      <w:pPr>
        <w:numPr>
          <w:ilvl w:val="0"/>
          <w:numId w:val="1"/>
        </w:numPr>
        <w:spacing w:before="100" w:beforeAutospacing="1" w:after="100" w:afterAutospacing="1" w:line="259" w:lineRule="auto"/>
        <w:contextualSpacing/>
        <w:jc w:val="both"/>
        <w:rPr>
          <w:rFonts w:ascii="Times New Roman" w:eastAsia="Times New Roman" w:hAnsi="Times New Roman" w:cs="Times New Roman"/>
          <w:sz w:val="24"/>
          <w:szCs w:val="24"/>
          <w:lang w:val="en-US" w:eastAsia="pl-PL"/>
        </w:rPr>
      </w:pPr>
      <w:r w:rsidRPr="002536ED">
        <w:rPr>
          <w:rFonts w:ascii="Times New Roman" w:eastAsia="Times New Roman" w:hAnsi="Times New Roman" w:cs="Times New Roman"/>
          <w:b/>
          <w:sz w:val="24"/>
          <w:szCs w:val="24"/>
          <w:lang w:eastAsia="pl-PL"/>
        </w:rPr>
        <w:t>Pietron W.J.</w:t>
      </w:r>
      <w:r w:rsidRPr="002536ED">
        <w:rPr>
          <w:rFonts w:ascii="Times New Roman" w:eastAsia="Times New Roman" w:hAnsi="Times New Roman" w:cs="Times New Roman"/>
          <w:sz w:val="24"/>
          <w:szCs w:val="24"/>
          <w:lang w:eastAsia="pl-PL"/>
        </w:rPr>
        <w:t xml:space="preserve">, Piskorska-Pliszczynska J., 2020. </w:t>
      </w:r>
      <w:r w:rsidRPr="002536ED">
        <w:rPr>
          <w:rFonts w:ascii="Times New Roman" w:eastAsia="Times New Roman" w:hAnsi="Times New Roman" w:cs="Times New Roman"/>
          <w:sz w:val="24"/>
          <w:szCs w:val="24"/>
          <w:lang w:val="en-US" w:eastAsia="pl-PL"/>
        </w:rPr>
        <w:t xml:space="preserve">Improved chromatography separation for polybrominated diphenyl ether congeners quantification in the food of animal origin. </w:t>
      </w:r>
      <w:r w:rsidRPr="002536ED">
        <w:rPr>
          <w:rFonts w:ascii="Times New Roman" w:eastAsia="Times New Roman" w:hAnsi="Times New Roman" w:cs="Times New Roman"/>
          <w:i/>
          <w:sz w:val="24"/>
          <w:szCs w:val="24"/>
          <w:lang w:val="en-US" w:eastAsia="pl-PL"/>
        </w:rPr>
        <w:t>Microchem. J.</w:t>
      </w:r>
      <w:r w:rsidRPr="002536ED">
        <w:rPr>
          <w:rFonts w:ascii="Times New Roman" w:eastAsia="Times New Roman" w:hAnsi="Times New Roman" w:cs="Times New Roman"/>
          <w:sz w:val="24"/>
          <w:szCs w:val="24"/>
          <w:lang w:val="en-US" w:eastAsia="pl-PL"/>
        </w:rPr>
        <w:t xml:space="preserve"> 158, 105319.</w:t>
      </w:r>
    </w:p>
    <w:p w14:paraId="4CDDD2B4" w14:textId="77777777" w:rsidR="004C29E0" w:rsidRPr="002536ED" w:rsidRDefault="00AC2424" w:rsidP="004C29E0">
      <w:pPr>
        <w:spacing w:before="100" w:beforeAutospacing="1" w:after="100" w:afterAutospacing="1"/>
        <w:ind w:left="720"/>
        <w:contextualSpacing/>
        <w:jc w:val="both"/>
        <w:rPr>
          <w:rFonts w:ascii="Times New Roman" w:eastAsia="Times New Roman" w:hAnsi="Times New Roman" w:cs="Times New Roman"/>
          <w:color w:val="0563C1" w:themeColor="hyperlink"/>
          <w:sz w:val="24"/>
          <w:szCs w:val="24"/>
          <w:u w:val="single"/>
          <w:lang w:val="en-US" w:eastAsia="pl-PL"/>
        </w:rPr>
      </w:pPr>
      <w:hyperlink r:id="rId10" w:history="1">
        <w:r w:rsidR="004C29E0" w:rsidRPr="002536ED">
          <w:rPr>
            <w:rFonts w:ascii="Times New Roman" w:eastAsia="Times New Roman" w:hAnsi="Times New Roman" w:cs="Times New Roman"/>
            <w:color w:val="0563C1" w:themeColor="hyperlink"/>
            <w:sz w:val="24"/>
            <w:szCs w:val="24"/>
            <w:u w:val="single"/>
            <w:lang w:val="en-US" w:eastAsia="pl-PL"/>
          </w:rPr>
          <w:t>https://doi.org/10.1016/j.microc.2020.105319</w:t>
        </w:r>
      </w:hyperlink>
    </w:p>
    <w:p w14:paraId="31660BD4" w14:textId="77777777" w:rsidR="004C29E0" w:rsidRPr="002536ED" w:rsidRDefault="004C29E0" w:rsidP="004C29E0">
      <w:pPr>
        <w:tabs>
          <w:tab w:val="center" w:pos="4873"/>
          <w:tab w:val="right" w:pos="9027"/>
        </w:tabs>
        <w:spacing w:before="100" w:beforeAutospacing="1" w:after="100" w:afterAutospacing="1"/>
        <w:ind w:left="720"/>
        <w:contextualSpacing/>
        <w:jc w:val="center"/>
        <w:rPr>
          <w:rFonts w:ascii="Times New Roman" w:eastAsia="Times New Roman" w:hAnsi="Times New Roman" w:cs="Times New Roman"/>
          <w:sz w:val="24"/>
          <w:szCs w:val="24"/>
          <w:lang w:eastAsia="pl-PL"/>
        </w:rPr>
      </w:pPr>
    </w:p>
    <w:p w14:paraId="32E07EFC" w14:textId="77777777" w:rsidR="004C29E0" w:rsidRPr="002536ED" w:rsidRDefault="004C29E0" w:rsidP="004C29E0">
      <w:pPr>
        <w:numPr>
          <w:ilvl w:val="0"/>
          <w:numId w:val="1"/>
        </w:numPr>
        <w:spacing w:before="100" w:beforeAutospacing="1" w:after="100" w:afterAutospacing="1" w:line="259" w:lineRule="auto"/>
        <w:contextualSpacing/>
        <w:jc w:val="both"/>
        <w:rPr>
          <w:rFonts w:ascii="Times New Roman" w:eastAsia="Times New Roman" w:hAnsi="Times New Roman" w:cs="Times New Roman"/>
          <w:sz w:val="24"/>
          <w:szCs w:val="24"/>
          <w:lang w:val="en-US" w:eastAsia="pl-PL"/>
        </w:rPr>
      </w:pPr>
      <w:r w:rsidRPr="002536ED">
        <w:rPr>
          <w:rFonts w:ascii="Times New Roman" w:eastAsia="Times New Roman" w:hAnsi="Times New Roman" w:cs="Times New Roman"/>
          <w:b/>
          <w:sz w:val="24"/>
          <w:szCs w:val="24"/>
          <w:lang w:eastAsia="pl-PL"/>
        </w:rPr>
        <w:t>Pietron W</w:t>
      </w:r>
      <w:r w:rsidRPr="002536ED">
        <w:rPr>
          <w:rFonts w:ascii="Times New Roman" w:eastAsia="Times New Roman" w:hAnsi="Times New Roman" w:cs="Times New Roman"/>
          <w:sz w:val="24"/>
          <w:szCs w:val="24"/>
          <w:lang w:eastAsia="pl-PL"/>
        </w:rPr>
        <w:t xml:space="preserve">., Pajurek M., Mikolajczyk S., Maszewski S., Warenik-Bany M., Piskorska-Pliszczynska J., 2019. </w:t>
      </w:r>
      <w:r w:rsidRPr="002536ED">
        <w:rPr>
          <w:rFonts w:ascii="Times New Roman" w:eastAsia="Times New Roman" w:hAnsi="Times New Roman" w:cs="Times New Roman"/>
          <w:sz w:val="24"/>
          <w:szCs w:val="24"/>
          <w:lang w:val="en-US" w:eastAsia="pl-PL"/>
        </w:rPr>
        <w:t xml:space="preserve">Exposure to PBDEs associated with farm animal meat consumption. </w:t>
      </w:r>
      <w:r w:rsidRPr="002536ED">
        <w:rPr>
          <w:rFonts w:ascii="Times New Roman" w:eastAsia="Times New Roman" w:hAnsi="Times New Roman" w:cs="Times New Roman"/>
          <w:i/>
          <w:sz w:val="24"/>
          <w:szCs w:val="24"/>
          <w:lang w:val="en-US" w:eastAsia="pl-PL"/>
        </w:rPr>
        <w:t>Chemosphere</w:t>
      </w:r>
      <w:r w:rsidRPr="002536ED">
        <w:rPr>
          <w:rFonts w:ascii="Times New Roman" w:eastAsia="Times New Roman" w:hAnsi="Times New Roman" w:cs="Times New Roman"/>
          <w:sz w:val="24"/>
          <w:szCs w:val="24"/>
          <w:lang w:val="en-US" w:eastAsia="pl-PL"/>
        </w:rPr>
        <w:t xml:space="preserve"> 224, 58–64. </w:t>
      </w:r>
    </w:p>
    <w:p w14:paraId="69746183" w14:textId="77777777" w:rsidR="004C29E0" w:rsidRPr="002536ED" w:rsidRDefault="00AC2424" w:rsidP="004C29E0">
      <w:pPr>
        <w:spacing w:before="100" w:beforeAutospacing="1" w:after="100" w:afterAutospacing="1"/>
        <w:ind w:left="720"/>
        <w:contextualSpacing/>
        <w:jc w:val="both"/>
        <w:rPr>
          <w:rFonts w:ascii="Times New Roman" w:eastAsia="Times New Roman" w:hAnsi="Times New Roman" w:cs="Times New Roman"/>
          <w:color w:val="0563C1" w:themeColor="hyperlink"/>
          <w:sz w:val="24"/>
          <w:szCs w:val="24"/>
          <w:u w:val="single"/>
          <w:lang w:val="en-US" w:eastAsia="pl-PL"/>
        </w:rPr>
      </w:pPr>
      <w:hyperlink r:id="rId11" w:history="1">
        <w:r w:rsidR="004C29E0" w:rsidRPr="002536ED">
          <w:rPr>
            <w:rFonts w:ascii="Times New Roman" w:eastAsia="Times New Roman" w:hAnsi="Times New Roman" w:cs="Times New Roman"/>
            <w:color w:val="0563C1" w:themeColor="hyperlink"/>
            <w:sz w:val="24"/>
            <w:szCs w:val="24"/>
            <w:u w:val="single"/>
            <w:lang w:val="en-US" w:eastAsia="pl-PL"/>
          </w:rPr>
          <w:t>https://doi.org/10.1016/j.chemosphere.2019.02.067</w:t>
        </w:r>
      </w:hyperlink>
    </w:p>
    <w:p w14:paraId="60935556" w14:textId="77777777" w:rsidR="004C29E0" w:rsidRPr="002536ED" w:rsidRDefault="004C29E0" w:rsidP="004C29E0">
      <w:pPr>
        <w:tabs>
          <w:tab w:val="center" w:pos="4873"/>
          <w:tab w:val="right" w:pos="9027"/>
        </w:tabs>
        <w:spacing w:before="100" w:beforeAutospacing="1" w:after="100" w:afterAutospacing="1"/>
        <w:ind w:left="720"/>
        <w:contextualSpacing/>
        <w:jc w:val="center"/>
        <w:rPr>
          <w:rFonts w:ascii="Times New Roman" w:eastAsia="Times New Roman" w:hAnsi="Times New Roman" w:cs="Times New Roman"/>
          <w:sz w:val="24"/>
          <w:szCs w:val="24"/>
          <w:lang w:eastAsia="pl-PL"/>
        </w:rPr>
      </w:pPr>
    </w:p>
    <w:p w14:paraId="0F3DAF78" w14:textId="77777777" w:rsidR="004C29E0" w:rsidRPr="002536ED" w:rsidRDefault="004C29E0" w:rsidP="004C29E0">
      <w:pPr>
        <w:numPr>
          <w:ilvl w:val="0"/>
          <w:numId w:val="1"/>
        </w:numPr>
        <w:spacing w:before="100" w:beforeAutospacing="1" w:after="100" w:afterAutospacing="1" w:line="259" w:lineRule="auto"/>
        <w:contextualSpacing/>
        <w:jc w:val="both"/>
        <w:rPr>
          <w:rFonts w:ascii="Times New Roman" w:eastAsia="Times New Roman" w:hAnsi="Times New Roman" w:cs="Times New Roman"/>
          <w:sz w:val="24"/>
          <w:szCs w:val="24"/>
          <w:lang w:eastAsia="pl-PL"/>
        </w:rPr>
      </w:pPr>
      <w:r w:rsidRPr="002536ED">
        <w:rPr>
          <w:rFonts w:ascii="Times New Roman" w:eastAsia="Times New Roman" w:hAnsi="Times New Roman" w:cs="Times New Roman"/>
          <w:sz w:val="24"/>
          <w:szCs w:val="24"/>
          <w:lang w:eastAsia="pl-PL"/>
        </w:rPr>
        <w:t xml:space="preserve">Pajurek M., </w:t>
      </w:r>
      <w:r w:rsidRPr="002536ED">
        <w:rPr>
          <w:rFonts w:ascii="Times New Roman" w:eastAsia="Times New Roman" w:hAnsi="Times New Roman" w:cs="Times New Roman"/>
          <w:b/>
          <w:sz w:val="24"/>
          <w:szCs w:val="24"/>
          <w:lang w:eastAsia="pl-PL"/>
        </w:rPr>
        <w:t>Pietron W.</w:t>
      </w:r>
      <w:r w:rsidRPr="002536ED">
        <w:rPr>
          <w:rFonts w:ascii="Times New Roman" w:eastAsia="Times New Roman" w:hAnsi="Times New Roman" w:cs="Times New Roman"/>
          <w:sz w:val="24"/>
          <w:szCs w:val="24"/>
          <w:lang w:eastAsia="pl-PL"/>
        </w:rPr>
        <w:t xml:space="preserve">, Maszewski S., Mikolajczyk S., Piskorska-Pliszczynska J., 2019. </w:t>
      </w:r>
      <w:r w:rsidRPr="002536ED">
        <w:rPr>
          <w:rFonts w:ascii="Times New Roman" w:eastAsia="Times New Roman" w:hAnsi="Times New Roman" w:cs="Times New Roman"/>
          <w:sz w:val="24"/>
          <w:szCs w:val="24"/>
          <w:lang w:val="en-US" w:eastAsia="pl-PL"/>
        </w:rPr>
        <w:t xml:space="preserve">Poultry eggs as a source of PCDD/Fs, PCBs, PBDEs and PBDD/Fs. </w:t>
      </w:r>
      <w:r w:rsidRPr="002536ED">
        <w:rPr>
          <w:rFonts w:ascii="Times New Roman" w:eastAsia="Times New Roman" w:hAnsi="Times New Roman" w:cs="Times New Roman"/>
          <w:i/>
          <w:sz w:val="24"/>
          <w:szCs w:val="24"/>
          <w:lang w:eastAsia="pl-PL"/>
        </w:rPr>
        <w:t>Chemosphere</w:t>
      </w:r>
      <w:r w:rsidRPr="002536ED">
        <w:rPr>
          <w:rFonts w:ascii="Times New Roman" w:eastAsia="Times New Roman" w:hAnsi="Times New Roman" w:cs="Times New Roman"/>
          <w:sz w:val="24"/>
          <w:szCs w:val="24"/>
          <w:lang w:eastAsia="pl-PL"/>
        </w:rPr>
        <w:t xml:space="preserve"> 223, 651–658.</w:t>
      </w:r>
    </w:p>
    <w:p w14:paraId="4C813F4C" w14:textId="77777777" w:rsidR="004C29E0" w:rsidRPr="002536ED" w:rsidRDefault="00AC2424" w:rsidP="004C29E0">
      <w:pPr>
        <w:spacing w:before="100" w:beforeAutospacing="1" w:after="100" w:afterAutospacing="1"/>
        <w:ind w:left="720"/>
        <w:contextualSpacing/>
        <w:jc w:val="both"/>
        <w:rPr>
          <w:rFonts w:ascii="Times New Roman" w:eastAsia="Times New Roman" w:hAnsi="Times New Roman" w:cs="Times New Roman"/>
          <w:color w:val="0563C1" w:themeColor="hyperlink"/>
          <w:sz w:val="24"/>
          <w:szCs w:val="24"/>
          <w:u w:val="single"/>
          <w:lang w:eastAsia="pl-PL"/>
        </w:rPr>
      </w:pPr>
      <w:hyperlink r:id="rId12" w:history="1">
        <w:r w:rsidR="004C29E0" w:rsidRPr="002536ED">
          <w:rPr>
            <w:rFonts w:ascii="Times New Roman" w:eastAsia="Times New Roman" w:hAnsi="Times New Roman" w:cs="Times New Roman"/>
            <w:color w:val="0563C1" w:themeColor="hyperlink"/>
            <w:sz w:val="24"/>
            <w:szCs w:val="24"/>
            <w:u w:val="single"/>
            <w:lang w:eastAsia="pl-PL"/>
          </w:rPr>
          <w:t>https://doi.org/10.1016/j.chemosphere.2019.02.023</w:t>
        </w:r>
      </w:hyperlink>
    </w:p>
    <w:p w14:paraId="0A59690E" w14:textId="77777777" w:rsidR="004C29E0" w:rsidRPr="002536ED" w:rsidRDefault="004C29E0" w:rsidP="004C29E0">
      <w:pPr>
        <w:spacing w:before="100" w:beforeAutospacing="1" w:after="100" w:afterAutospacing="1"/>
        <w:ind w:left="720"/>
        <w:contextualSpacing/>
        <w:jc w:val="center"/>
        <w:rPr>
          <w:rFonts w:ascii="Times New Roman" w:eastAsia="Arial" w:hAnsi="Times New Roman" w:cs="Times New Roman"/>
          <w:color w:val="000000"/>
          <w:sz w:val="24"/>
          <w:szCs w:val="24"/>
          <w:lang w:eastAsia="pl-PL"/>
        </w:rPr>
      </w:pPr>
    </w:p>
    <w:p w14:paraId="231FFE74" w14:textId="77777777" w:rsidR="004C29E0" w:rsidRPr="002536ED" w:rsidRDefault="004C29E0" w:rsidP="004C29E0">
      <w:pPr>
        <w:numPr>
          <w:ilvl w:val="0"/>
          <w:numId w:val="1"/>
        </w:numPr>
        <w:spacing w:before="100" w:beforeAutospacing="1" w:after="100" w:afterAutospacing="1" w:line="259" w:lineRule="auto"/>
        <w:contextualSpacing/>
        <w:jc w:val="both"/>
        <w:rPr>
          <w:rFonts w:ascii="Times New Roman" w:eastAsia="Arial" w:hAnsi="Times New Roman" w:cs="Times New Roman"/>
          <w:color w:val="000000"/>
          <w:sz w:val="24"/>
          <w:szCs w:val="24"/>
          <w:lang w:eastAsia="pl-PL"/>
        </w:rPr>
      </w:pPr>
      <w:r w:rsidRPr="002536ED">
        <w:rPr>
          <w:rFonts w:ascii="Times New Roman" w:eastAsia="Times New Roman" w:hAnsi="Times New Roman" w:cs="Times New Roman"/>
          <w:b/>
          <w:sz w:val="24"/>
          <w:szCs w:val="24"/>
          <w:lang w:eastAsia="pl-PL"/>
        </w:rPr>
        <w:t>Pietron W.J.</w:t>
      </w:r>
      <w:r w:rsidRPr="002536ED">
        <w:rPr>
          <w:rFonts w:ascii="Times New Roman" w:eastAsia="Times New Roman" w:hAnsi="Times New Roman" w:cs="Times New Roman"/>
          <w:sz w:val="24"/>
          <w:szCs w:val="24"/>
          <w:lang w:eastAsia="pl-PL"/>
        </w:rPr>
        <w:t xml:space="preserve">, Warenik-Bany M., Wozniak B., 2021. </w:t>
      </w:r>
      <w:r w:rsidRPr="002536ED">
        <w:rPr>
          <w:rFonts w:ascii="Times New Roman" w:eastAsia="Times New Roman" w:hAnsi="Times New Roman" w:cs="Times New Roman"/>
          <w:sz w:val="24"/>
          <w:szCs w:val="24"/>
          <w:lang w:val="en-US" w:eastAsia="pl-PL"/>
        </w:rPr>
        <w:t xml:space="preserve">Polybrominated diphenyl ethers (PBDEs) in raw milk from different animal species and in infant formula. Occurrence and risk assessment. </w:t>
      </w:r>
      <w:r w:rsidRPr="002536ED">
        <w:rPr>
          <w:rFonts w:ascii="Times New Roman" w:eastAsia="Times New Roman" w:hAnsi="Times New Roman" w:cs="Times New Roman"/>
          <w:i/>
          <w:sz w:val="24"/>
          <w:szCs w:val="24"/>
          <w:lang w:eastAsia="pl-PL"/>
        </w:rPr>
        <w:t>Chemosphere</w:t>
      </w:r>
      <w:r w:rsidRPr="002536ED">
        <w:rPr>
          <w:rFonts w:ascii="Times New Roman" w:eastAsia="Times New Roman" w:hAnsi="Times New Roman" w:cs="Times New Roman"/>
          <w:sz w:val="24"/>
          <w:szCs w:val="24"/>
          <w:lang w:eastAsia="pl-PL"/>
        </w:rPr>
        <w:t xml:space="preserve"> 278, 130479. </w:t>
      </w:r>
    </w:p>
    <w:p w14:paraId="43941FB0" w14:textId="6742D980" w:rsidR="004C29E0" w:rsidRPr="004C29E0" w:rsidRDefault="00AC2424" w:rsidP="004C29E0">
      <w:pPr>
        <w:spacing w:before="100" w:beforeAutospacing="1" w:after="100" w:afterAutospacing="1"/>
        <w:ind w:left="720"/>
        <w:contextualSpacing/>
        <w:jc w:val="both"/>
        <w:rPr>
          <w:rFonts w:ascii="Times New Roman" w:eastAsia="Times New Roman" w:hAnsi="Times New Roman" w:cs="Times New Roman"/>
          <w:sz w:val="24"/>
          <w:szCs w:val="24"/>
          <w:lang w:eastAsia="pl-PL"/>
        </w:rPr>
      </w:pPr>
      <w:hyperlink r:id="rId13" w:history="1">
        <w:r w:rsidR="004C29E0" w:rsidRPr="002536ED">
          <w:rPr>
            <w:rFonts w:ascii="Times New Roman" w:eastAsia="Times New Roman" w:hAnsi="Times New Roman" w:cs="Times New Roman"/>
            <w:color w:val="0563C1" w:themeColor="hyperlink"/>
            <w:sz w:val="24"/>
            <w:szCs w:val="24"/>
            <w:u w:val="single"/>
            <w:lang w:eastAsia="pl-PL"/>
          </w:rPr>
          <w:t>https://doi.org/10.1016/j.chemosphere.2021.130479</w:t>
        </w:r>
      </w:hyperlink>
    </w:p>
    <w:p w14:paraId="2490792F" w14:textId="292A6B84" w:rsidR="004C29E0" w:rsidRDefault="004C29E0" w:rsidP="004C29E0">
      <w:pPr>
        <w:spacing w:before="120" w:after="240"/>
        <w:ind w:left="432"/>
        <w:outlineLvl w:val="0"/>
        <w:rPr>
          <w:rFonts w:ascii="Times New Roman" w:eastAsia="Arial" w:hAnsi="Times New Roman" w:cs="Times New Roman"/>
          <w:b/>
          <w:color w:val="000000"/>
          <w:sz w:val="36"/>
          <w:szCs w:val="24"/>
          <w:lang w:eastAsia="pl-PL"/>
        </w:rPr>
      </w:pPr>
    </w:p>
    <w:p w14:paraId="17C914EC" w14:textId="77777777" w:rsidR="00C20386" w:rsidRDefault="00C20386" w:rsidP="00C20386">
      <w:pPr>
        <w:spacing w:before="120" w:after="240"/>
        <w:ind w:left="432" w:hanging="432"/>
        <w:outlineLvl w:val="0"/>
        <w:rPr>
          <w:rFonts w:ascii="Times New Roman" w:eastAsia="Arial" w:hAnsi="Times New Roman" w:cs="Times New Roman"/>
          <w:b/>
          <w:color w:val="000000"/>
          <w:sz w:val="36"/>
          <w:szCs w:val="24"/>
          <w:lang w:eastAsia="pl-PL"/>
        </w:rPr>
      </w:pPr>
      <w:bookmarkStart w:id="2" w:name="_Toc73004059"/>
      <w:bookmarkStart w:id="3" w:name="_Toc73106240"/>
      <w:bookmarkStart w:id="4" w:name="_Toc76988197"/>
      <w:r>
        <w:rPr>
          <w:rFonts w:ascii="Times New Roman" w:eastAsia="Arial" w:hAnsi="Times New Roman" w:cs="Times New Roman"/>
          <w:b/>
          <w:color w:val="000000"/>
          <w:sz w:val="36"/>
          <w:szCs w:val="24"/>
          <w:lang w:eastAsia="pl-PL"/>
        </w:rPr>
        <w:t>Cel badań</w:t>
      </w:r>
      <w:bookmarkEnd w:id="2"/>
      <w:bookmarkEnd w:id="3"/>
      <w:bookmarkEnd w:id="4"/>
    </w:p>
    <w:p w14:paraId="1834707D" w14:textId="77777777" w:rsidR="00C20386" w:rsidRDefault="00C20386" w:rsidP="00C20386">
      <w:pPr>
        <w:tabs>
          <w:tab w:val="left" w:pos="3828"/>
        </w:tabs>
        <w:spacing w:before="120" w:after="120" w:line="360" w:lineRule="auto"/>
        <w:ind w:firstLine="567"/>
        <w:jc w:val="both"/>
        <w:rPr>
          <w:rFonts w:ascii="Times New Roman" w:eastAsia="Arial" w:hAnsi="Times New Roman" w:cs="Arial"/>
          <w:color w:val="000000"/>
          <w:sz w:val="24"/>
          <w:szCs w:val="23"/>
          <w:lang w:eastAsia="pl-PL"/>
        </w:rPr>
      </w:pPr>
      <w:r>
        <w:rPr>
          <w:rFonts w:ascii="Times New Roman" w:eastAsia="Arial" w:hAnsi="Times New Roman" w:cs="Arial"/>
          <w:color w:val="000000"/>
          <w:sz w:val="24"/>
          <w:szCs w:val="23"/>
          <w:lang w:eastAsia="pl-PL"/>
        </w:rPr>
        <w:t xml:space="preserve">Dostępna literatura i raporty uznanych organizacji międzynarodowych, zajmujących się bezpieczeństwem żywności wskazują na powszechne występowanie polibromowanych difenyloeterów w środowisku i żywności pochodzenia zwierzęcego na świecie. Wydane w 2014 roku przez Komisje Europejską zalecenie (2014/118/UE) dotyczące monitorowania </w:t>
      </w:r>
      <w:r>
        <w:rPr>
          <w:rFonts w:ascii="Times New Roman" w:eastAsia="Arial" w:hAnsi="Times New Roman" w:cs="Arial"/>
          <w:sz w:val="24"/>
          <w:szCs w:val="23"/>
          <w:lang w:eastAsia="pl-PL"/>
        </w:rPr>
        <w:t xml:space="preserve">śladów </w:t>
      </w:r>
      <w:r>
        <w:rPr>
          <w:rFonts w:ascii="Times New Roman" w:eastAsia="Arial" w:hAnsi="Times New Roman" w:cs="Arial"/>
          <w:color w:val="000000"/>
          <w:sz w:val="24"/>
          <w:szCs w:val="23"/>
          <w:lang w:eastAsia="pl-PL"/>
        </w:rPr>
        <w:t xml:space="preserve">bromowanych opóźniaczy spalania w żywności, w tym 10 kongenerów PBDE podkreśla wagę problemu. Wobec licznych dowodów na ich toksyczne właściwości zasadne było określenie stopnia zanieczyszczania polskiej żywości przez te związki, tym bardziej, że zagadnienie to zostało poznane tylko w niewielkim stopniu. </w:t>
      </w:r>
    </w:p>
    <w:p w14:paraId="2ECC1B37" w14:textId="77777777" w:rsidR="00C20386" w:rsidRDefault="00C20386" w:rsidP="00C20386">
      <w:pPr>
        <w:tabs>
          <w:tab w:val="left" w:pos="3828"/>
        </w:tabs>
        <w:spacing w:before="120" w:after="120" w:line="360" w:lineRule="auto"/>
        <w:jc w:val="both"/>
        <w:rPr>
          <w:rFonts w:ascii="Times New Roman" w:eastAsia="Arial" w:hAnsi="Times New Roman" w:cs="Arial"/>
          <w:color w:val="000000"/>
          <w:sz w:val="24"/>
          <w:szCs w:val="23"/>
          <w:lang w:eastAsia="pl-PL"/>
        </w:rPr>
      </w:pPr>
      <w:r>
        <w:rPr>
          <w:rFonts w:ascii="Times New Roman" w:eastAsia="Arial" w:hAnsi="Times New Roman" w:cs="Arial"/>
          <w:color w:val="000000"/>
          <w:sz w:val="24"/>
          <w:szCs w:val="23"/>
          <w:lang w:eastAsia="pl-PL"/>
        </w:rPr>
        <w:lastRenderedPageBreak/>
        <w:t>Celem podjętych badań było:</w:t>
      </w:r>
    </w:p>
    <w:p w14:paraId="673CE279" w14:textId="77777777" w:rsidR="00C20386" w:rsidRDefault="00C20386" w:rsidP="00C20386">
      <w:pPr>
        <w:numPr>
          <w:ilvl w:val="0"/>
          <w:numId w:val="3"/>
        </w:numPr>
        <w:tabs>
          <w:tab w:val="left" w:pos="3828"/>
        </w:tabs>
        <w:spacing w:before="120" w:after="120" w:line="360" w:lineRule="auto"/>
        <w:jc w:val="both"/>
        <w:rPr>
          <w:rFonts w:ascii="Times New Roman" w:eastAsia="Arial" w:hAnsi="Times New Roman" w:cs="Arial"/>
          <w:color w:val="000000"/>
          <w:sz w:val="24"/>
          <w:szCs w:val="23"/>
          <w:lang w:eastAsia="pl-PL"/>
        </w:rPr>
      </w:pPr>
      <w:r>
        <w:rPr>
          <w:rFonts w:ascii="Times New Roman" w:eastAsia="Arial" w:hAnsi="Times New Roman" w:cs="Arial"/>
          <w:color w:val="000000"/>
          <w:sz w:val="24"/>
          <w:szCs w:val="23"/>
          <w:lang w:eastAsia="pl-PL"/>
        </w:rPr>
        <w:t>opracowanie procedury badawczej do oznaczania polibromowanych difenyloeterów w żywności pochodzenia zwierzęcego,</w:t>
      </w:r>
    </w:p>
    <w:p w14:paraId="25C91F77" w14:textId="77777777" w:rsidR="00C20386" w:rsidRDefault="00C20386" w:rsidP="00C20386">
      <w:pPr>
        <w:numPr>
          <w:ilvl w:val="0"/>
          <w:numId w:val="3"/>
        </w:numPr>
        <w:tabs>
          <w:tab w:val="left" w:pos="3828"/>
        </w:tabs>
        <w:spacing w:before="120" w:after="120" w:line="360" w:lineRule="auto"/>
        <w:jc w:val="both"/>
        <w:rPr>
          <w:rFonts w:ascii="Times New Roman" w:eastAsia="Arial" w:hAnsi="Times New Roman" w:cs="Arial"/>
          <w:color w:val="000000"/>
          <w:sz w:val="24"/>
          <w:szCs w:val="23"/>
          <w:lang w:eastAsia="pl-PL"/>
        </w:rPr>
      </w:pPr>
      <w:r>
        <w:rPr>
          <w:rFonts w:ascii="Times New Roman" w:eastAsia="Arial" w:hAnsi="Times New Roman" w:cs="Arial"/>
          <w:color w:val="000000"/>
          <w:sz w:val="24"/>
          <w:szCs w:val="23"/>
          <w:lang w:eastAsia="pl-PL"/>
        </w:rPr>
        <w:t xml:space="preserve">ocena występowania PBDE w krajowej żywności pochodzenia zwierzęcego w Polsce, </w:t>
      </w:r>
    </w:p>
    <w:p w14:paraId="2FC8D419" w14:textId="77777777" w:rsidR="00C20386" w:rsidRDefault="00C20386" w:rsidP="00C20386">
      <w:pPr>
        <w:numPr>
          <w:ilvl w:val="0"/>
          <w:numId w:val="3"/>
        </w:numPr>
        <w:tabs>
          <w:tab w:val="left" w:pos="3828"/>
        </w:tabs>
        <w:spacing w:before="120" w:after="120" w:line="360" w:lineRule="auto"/>
        <w:jc w:val="both"/>
        <w:rPr>
          <w:rFonts w:ascii="Times New Roman" w:eastAsia="Arial" w:hAnsi="Times New Roman" w:cs="Arial"/>
          <w:color w:val="000000"/>
          <w:sz w:val="24"/>
          <w:szCs w:val="23"/>
          <w:lang w:eastAsia="pl-PL"/>
        </w:rPr>
      </w:pPr>
      <w:r>
        <w:rPr>
          <w:rFonts w:ascii="Times New Roman" w:eastAsia="Arial" w:hAnsi="Times New Roman" w:cs="Arial"/>
          <w:color w:val="000000"/>
          <w:sz w:val="24"/>
          <w:szCs w:val="23"/>
          <w:lang w:eastAsia="pl-PL"/>
        </w:rPr>
        <w:t>oszacowanie dziennego pobrania PBDE wraz z podstawowymi rodzajami żywności (mięso, jaja, mleko) dla mieszkańców Polski,</w:t>
      </w:r>
    </w:p>
    <w:p w14:paraId="5CBA72BD" w14:textId="4560033D" w:rsidR="00C20386" w:rsidRPr="00C20386" w:rsidRDefault="00C20386" w:rsidP="00C20386">
      <w:pPr>
        <w:numPr>
          <w:ilvl w:val="0"/>
          <w:numId w:val="3"/>
        </w:numPr>
        <w:tabs>
          <w:tab w:val="left" w:pos="3828"/>
        </w:tabs>
        <w:spacing w:before="120" w:after="120" w:line="360" w:lineRule="auto"/>
        <w:jc w:val="both"/>
        <w:rPr>
          <w:rFonts w:ascii="Times New Roman" w:eastAsia="Arial" w:hAnsi="Times New Roman" w:cs="Arial"/>
          <w:color w:val="000000"/>
          <w:sz w:val="24"/>
          <w:szCs w:val="23"/>
          <w:lang w:eastAsia="pl-PL"/>
        </w:rPr>
        <w:sectPr w:rsidR="00C20386" w:rsidRPr="00C20386">
          <w:pgSz w:w="11906" w:h="16838"/>
          <w:pgMar w:top="1418" w:right="1134" w:bottom="1418" w:left="1134" w:header="709" w:footer="709" w:gutter="851"/>
          <w:cols w:space="708"/>
        </w:sectPr>
      </w:pPr>
      <w:r>
        <w:rPr>
          <w:rFonts w:ascii="Times New Roman" w:eastAsia="Arial" w:hAnsi="Times New Roman" w:cs="Arial"/>
          <w:color w:val="000000"/>
          <w:sz w:val="24"/>
          <w:szCs w:val="23"/>
          <w:lang w:eastAsia="pl-PL"/>
        </w:rPr>
        <w:t>ocena ryzyka dla zdrowia ludzi związanego z pobraniem PBDE wraz z żywnością pochodzenia zwierzęcego</w:t>
      </w:r>
      <w:r>
        <w:rPr>
          <w:rFonts w:ascii="Times New Roman" w:eastAsia="Arial" w:hAnsi="Times New Roman" w:cs="Arial"/>
          <w:color w:val="000000"/>
          <w:sz w:val="24"/>
          <w:szCs w:val="23"/>
          <w:lang w:eastAsia="pl-PL"/>
        </w:rPr>
        <w:t>.</w:t>
      </w:r>
    </w:p>
    <w:p w14:paraId="5B6B74E1" w14:textId="77777777" w:rsidR="00C20386" w:rsidRPr="00E3777B" w:rsidRDefault="00C20386" w:rsidP="00C20386">
      <w:pPr>
        <w:spacing w:before="120" w:after="240"/>
        <w:outlineLvl w:val="0"/>
        <w:rPr>
          <w:rFonts w:ascii="Times New Roman" w:eastAsia="Arial" w:hAnsi="Times New Roman" w:cs="Times New Roman"/>
          <w:b/>
          <w:color w:val="000000"/>
          <w:sz w:val="36"/>
          <w:szCs w:val="24"/>
          <w:lang w:eastAsia="pl-PL"/>
        </w:rPr>
      </w:pPr>
    </w:p>
    <w:p w14:paraId="5585B62C" w14:textId="77777777" w:rsidR="004C29E0" w:rsidRPr="002536ED" w:rsidRDefault="004C29E0" w:rsidP="004C29E0">
      <w:pPr>
        <w:spacing w:before="120" w:after="240"/>
        <w:ind w:left="432"/>
        <w:outlineLvl w:val="0"/>
        <w:rPr>
          <w:rFonts w:ascii="Times New Roman" w:eastAsia="Arial" w:hAnsi="Times New Roman" w:cs="Times New Roman"/>
          <w:b/>
          <w:color w:val="000000"/>
          <w:sz w:val="36"/>
          <w:szCs w:val="24"/>
          <w:lang w:eastAsia="pl-PL"/>
        </w:rPr>
      </w:pPr>
      <w:r w:rsidRPr="002536ED">
        <w:rPr>
          <w:rFonts w:ascii="Times New Roman" w:eastAsia="Arial" w:hAnsi="Times New Roman" w:cs="Times New Roman"/>
          <w:b/>
          <w:color w:val="000000"/>
          <w:sz w:val="36"/>
          <w:szCs w:val="24"/>
          <w:lang w:eastAsia="pl-PL"/>
        </w:rPr>
        <w:t>Streszczenie</w:t>
      </w:r>
      <w:bookmarkEnd w:id="0"/>
    </w:p>
    <w:p w14:paraId="05AA955F"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Polibromowane difenyloetery (PBDE) to syntetyczne związki chemiczne, które przez wiele lat były dodawane do tworzyw sztucznych jako związki zmniejszające ich palność. Stanowią one grupę 209 kongenerów, czyli związków o tym samym szkielecie, lecz różniących się ilością i położeniem atomów bromu. PBDE nie są związane chemicznie z tworzywem sztucznym, przez co są systematycznie uwalniane do środowiska, w którym utrzymują się przez wiele lat. Ulegają bioakumulacji w tkankach zwierząt, a także biomagnifikacji w łańcuchach troficznych. Trafiają również do żywności pochodzenia zwierzęcego. Ich systematyczne pobieranie w małych dawkach prowadzi do akumulacji w organizmie i występowania efektów toksycznych. W 2014 roku Komisja Europejska na podstawie Opinii Naukowej Europejskiego Urzędu ds. Bezpieczeństwa Żywności (EFSA) wydała zalecenie dotyczące monitorowania obecności 10 kongenerów PBDE w żywności (2014/118/KE). Celem pracy była ocena występowania PBDE w żywności pochodzenia zwierzęcego, oszacowane ich dziennego pobrania z dietą oraz ocena ryzyka dla zdrowia konsumentów.</w:t>
      </w:r>
    </w:p>
    <w:p w14:paraId="7C3119C0"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We wstępie przedstawiono informacje na temat produkcji, stosowania oraz uwalniania PBDE do środowiska. Szeroko omówiono zagadnienia związane z ich pobieraniem, metabolizmem, eliminacją oraz toksycznością dla ludzi i zwierząt. Następnie opisano etapy opracowania metody oznaczania 10 kongenerów PBDE w żywności pochodzenia zwierzęcego z zastosowaniem chromatografii gazowej sprzężonej z wysokorozdzielczą spektrometrią mas. Szczególną uwagę poświecono separacji chromatograficznej badanych kongenerów dzięki czemu uzyskano poprawne ich rozdzielenie od innych składników próbki. Opracowana metoda po walidacji i wielokrotnej weryfikacji w międzynarodowych badaniach biegłości została włączona do realizacji krajowego programu badań kontrolnych PBDE u zwierząt i w produktach pochodzenia zwierzęcego.</w:t>
      </w:r>
    </w:p>
    <w:p w14:paraId="02B5DC74"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 xml:space="preserve">Przy zastosowaniu opracowanej metody oznaczono stężenia PBDE w 401 próbkach żywności pochodzenia zwierzęcego w tym w 199 próbkach mięsa dziewięciu gatunków zwierząt hodowlanych, 99 próbkach jaj kurzych z różnych rodzajów chowu, 87 próbkach mleka świeżego pozyskanego od krów, owiec i kóz oraz 16 próbkach mleka modyfikowanego. </w:t>
      </w:r>
    </w:p>
    <w:p w14:paraId="15D711CE"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W 99% próbek stwierdzono obecność przynajmniej jednego z oznaczanych kongenerów PBDE, co wskazuje na powszechne zanieczyszczenie nimi polskiej żywności. Najwyższą medianę stężeń sumy PBDE oznaczono w baraninie (46,7 pg</w:t>
      </w:r>
      <w:r w:rsidRPr="002536ED">
        <w:rPr>
          <w:rFonts w:ascii="Times New Roman" w:eastAsia="Arial" w:hAnsi="Times New Roman" w:cs="Times New Roman"/>
          <w:color w:val="000000"/>
          <w:sz w:val="24"/>
          <w:szCs w:val="23"/>
          <w:lang w:eastAsia="pl-PL"/>
        </w:rPr>
        <w:t>·</w:t>
      </w:r>
      <w:r w:rsidRPr="002536ED">
        <w:rPr>
          <w:rFonts w:ascii="Times New Roman" w:eastAsia="Arial" w:hAnsi="Times New Roman" w:cs="Arial"/>
          <w:color w:val="000000"/>
          <w:sz w:val="24"/>
          <w:szCs w:val="23"/>
          <w:lang w:eastAsia="pl-PL"/>
        </w:rPr>
        <w:t>g</w:t>
      </w:r>
      <w:r w:rsidRPr="002536ED">
        <w:rPr>
          <w:rFonts w:ascii="Times New Roman" w:eastAsia="Arial" w:hAnsi="Times New Roman" w:cs="Arial"/>
          <w:color w:val="000000"/>
          <w:sz w:val="24"/>
          <w:szCs w:val="23"/>
          <w:vertAlign w:val="superscript"/>
          <w:lang w:eastAsia="pl-PL"/>
        </w:rPr>
        <w:t>-1</w:t>
      </w:r>
      <w:r w:rsidRPr="002536ED">
        <w:rPr>
          <w:rFonts w:ascii="Times New Roman" w:eastAsia="Arial" w:hAnsi="Times New Roman" w:cs="Arial"/>
          <w:color w:val="000000"/>
          <w:sz w:val="24"/>
          <w:szCs w:val="23"/>
          <w:lang w:eastAsia="pl-PL"/>
        </w:rPr>
        <w:t xml:space="preserve"> świeżej masy), jajach </w:t>
      </w:r>
      <w:r w:rsidRPr="002536ED">
        <w:rPr>
          <w:rFonts w:ascii="Times New Roman" w:eastAsia="Arial" w:hAnsi="Times New Roman" w:cs="Arial"/>
          <w:color w:val="000000"/>
          <w:sz w:val="24"/>
          <w:szCs w:val="23"/>
          <w:lang w:eastAsia="pl-PL"/>
        </w:rPr>
        <w:lastRenderedPageBreak/>
        <w:t>pochodzących z chowu ekologicznego (58,6 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oraz mleku owczym (16</w:t>
      </w:r>
      <w:r w:rsidRPr="002536ED">
        <w:t> </w:t>
      </w:r>
      <w:r w:rsidRPr="002536ED">
        <w:rPr>
          <w:rFonts w:ascii="Times New Roman" w:eastAsia="Arial" w:hAnsi="Times New Roman" w:cs="Arial"/>
          <w:color w:val="000000"/>
          <w:sz w:val="24"/>
          <w:szCs w:val="23"/>
          <w:lang w:eastAsia="pl-PL"/>
        </w:rPr>
        <w:t>pg·mL</w:t>
      </w:r>
      <w:r w:rsidRPr="002536ED">
        <w:rPr>
          <w:rFonts w:ascii="Times New Roman" w:eastAsia="Arial" w:hAnsi="Times New Roman" w:cs="Arial"/>
          <w:color w:val="000000"/>
          <w:sz w:val="24"/>
          <w:szCs w:val="23"/>
          <w:vertAlign w:val="superscript"/>
          <w:lang w:eastAsia="pl-PL"/>
        </w:rPr>
        <w:t>-1</w:t>
      </w:r>
      <w:r w:rsidRPr="002536ED">
        <w:rPr>
          <w:rFonts w:ascii="Times New Roman" w:eastAsia="Arial" w:hAnsi="Times New Roman" w:cs="Arial"/>
          <w:color w:val="000000"/>
          <w:sz w:val="24"/>
          <w:szCs w:val="23"/>
          <w:lang w:eastAsia="pl-PL"/>
        </w:rPr>
        <w:t>). Najniższe mediany stężeń sumy PBDE oznaczono w mięsie jelenia hodowlanego (11,6</w:t>
      </w:r>
      <w:r w:rsidRPr="002536ED">
        <w:t> </w:t>
      </w:r>
      <w:r w:rsidRPr="002536ED">
        <w:rPr>
          <w:rFonts w:ascii="Times New Roman" w:eastAsia="Arial" w:hAnsi="Times New Roman" w:cs="Arial"/>
          <w:color w:val="000000"/>
          <w:sz w:val="24"/>
          <w:szCs w:val="23"/>
          <w:lang w:eastAsia="pl-PL"/>
        </w:rPr>
        <w:t>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jajach z chowu klatkowego (45,3 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oraz mleku krowim (6,7 pg·mL</w:t>
      </w:r>
      <w:r w:rsidRPr="002536ED">
        <w:rPr>
          <w:rFonts w:ascii="Times New Roman" w:eastAsia="Arial" w:hAnsi="Times New Roman" w:cs="Arial"/>
          <w:color w:val="000000"/>
          <w:sz w:val="24"/>
          <w:szCs w:val="23"/>
          <w:vertAlign w:val="superscript"/>
          <w:lang w:eastAsia="pl-PL"/>
        </w:rPr>
        <w:t>-1</w:t>
      </w:r>
      <w:r w:rsidRPr="002536ED">
        <w:rPr>
          <w:rFonts w:ascii="Times New Roman" w:eastAsia="Arial" w:hAnsi="Times New Roman" w:cs="Arial"/>
          <w:color w:val="000000"/>
          <w:sz w:val="24"/>
          <w:szCs w:val="23"/>
          <w:lang w:eastAsia="pl-PL"/>
        </w:rPr>
        <w:t>). Najwyższe stężenia stwierdzono w próbkach mięsa wieprzowego (666 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jaj kurzych z chowu ekologicznego (1351 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oraz mleka owczego (1162 pg·g</w:t>
      </w:r>
      <w:r w:rsidRPr="002536ED">
        <w:rPr>
          <w:rFonts w:ascii="Times New Roman" w:eastAsia="Arial" w:hAnsi="Times New Roman" w:cs="Arial"/>
          <w:color w:val="000000"/>
          <w:sz w:val="24"/>
          <w:szCs w:val="23"/>
          <w:vertAlign w:val="superscript"/>
          <w:lang w:eastAsia="pl-PL"/>
        </w:rPr>
        <w:noBreakHyphen/>
        <w:t>1</w:t>
      </w:r>
      <w:r w:rsidRPr="002536ED">
        <w:rPr>
          <w:rFonts w:ascii="Times New Roman" w:eastAsia="Arial" w:hAnsi="Times New Roman" w:cs="Arial"/>
          <w:color w:val="000000"/>
          <w:sz w:val="24"/>
          <w:szCs w:val="23"/>
          <w:lang w:eastAsia="pl-PL"/>
        </w:rPr>
        <w:t xml:space="preserve"> świeżej masy). W ponad 95% badanych próbek oznaczono BDE-47, a dominującym pod względem stężenia był kongener BDE</w:t>
      </w:r>
      <w:r w:rsidRPr="002536ED">
        <w:rPr>
          <w:rFonts w:ascii="Times New Roman" w:eastAsia="Arial" w:hAnsi="Times New Roman" w:cs="Arial"/>
          <w:color w:val="000000"/>
          <w:sz w:val="24"/>
          <w:szCs w:val="23"/>
          <w:lang w:eastAsia="pl-PL"/>
        </w:rPr>
        <w:noBreakHyphen/>
        <w:t xml:space="preserve">209. </w:t>
      </w:r>
    </w:p>
    <w:p w14:paraId="76D2C023"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 xml:space="preserve">Na podstawie uzyskanych wyników oraz danych o statystycznej i zalecanej konsumpcji żywności określono narażenie dorosłych, dzieci i niemowląt na PBDE. Bazując na medianach stężeń PBDE stwierdzono, że mleko i jego przetwory stanowią główne źródło tych związków w diecie. W skrajnych przypadkach (95-percentyl </w:t>
      </w:r>
      <w:r w:rsidRPr="002536ED">
        <w:rPr>
          <w:rFonts w:ascii="Times New Roman" w:eastAsia="Arial" w:hAnsi="Times New Roman" w:cs="Arial"/>
          <w:sz w:val="24"/>
          <w:szCs w:val="23"/>
          <w:lang w:eastAsia="pl-PL"/>
        </w:rPr>
        <w:t xml:space="preserve">stężeń) największe narażenie </w:t>
      </w:r>
      <w:r w:rsidRPr="002536ED">
        <w:rPr>
          <w:rFonts w:ascii="Times New Roman" w:eastAsia="Arial" w:hAnsi="Times New Roman" w:cs="Arial"/>
          <w:color w:val="000000"/>
          <w:sz w:val="24"/>
          <w:szCs w:val="23"/>
          <w:lang w:eastAsia="pl-PL"/>
        </w:rPr>
        <w:t>osób dorosłych może następować poprzez konsumpcje mięsa wieprzowego. Najbardziej na obecność PBDE w żywności narażone są niemowlęta, których dieta oparta jest o mleko modyfikowane</w:t>
      </w:r>
    </w:p>
    <w:p w14:paraId="0E21E751"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eastAsia="pl-PL"/>
        </w:rPr>
      </w:pPr>
      <w:r w:rsidRPr="002536ED">
        <w:rPr>
          <w:rFonts w:ascii="Times New Roman" w:eastAsia="Arial" w:hAnsi="Times New Roman" w:cs="Arial"/>
          <w:color w:val="000000"/>
          <w:sz w:val="24"/>
          <w:szCs w:val="23"/>
          <w:lang w:eastAsia="pl-PL"/>
        </w:rPr>
        <w:t>Oceny ryzyka dla zdrowia konsumentów związanego z pobraniem PBDE wraz z dietą dokonano stosując margines narażenia (MOE) zgodnie z Opinią Naukową EFSA. Wartość współczynnika MOE wyznaczono dla czterech kongenerów o znanych wartościach przewlekłego dietetycznego pobrania. Na podstawie otrzymanych wyników można stwierdzić, że obecność polibromowanych difenyloeterów w polskiej żywności pochodzenia zwierzęcego nie powinna stanowić ryzyka dla zdrowia konsumentów.</w:t>
      </w:r>
      <w:r w:rsidRPr="002536ED">
        <w:rPr>
          <w:rFonts w:ascii="Times New Roman" w:eastAsia="Arial" w:hAnsi="Times New Roman" w:cs="Arial"/>
          <w:color w:val="000000"/>
          <w:sz w:val="24"/>
          <w:szCs w:val="23"/>
          <w:lang w:eastAsia="pl-PL"/>
        </w:rPr>
        <w:br w:type="page"/>
      </w:r>
    </w:p>
    <w:p w14:paraId="45B3D7C8" w14:textId="77777777" w:rsidR="004C29E0" w:rsidRPr="002536ED" w:rsidRDefault="004C29E0" w:rsidP="004C29E0">
      <w:pPr>
        <w:spacing w:before="120" w:after="240"/>
        <w:ind w:left="432"/>
        <w:outlineLvl w:val="0"/>
        <w:rPr>
          <w:rFonts w:ascii="Times New Roman" w:eastAsia="Arial" w:hAnsi="Times New Roman" w:cs="Times New Roman"/>
          <w:b/>
          <w:color w:val="000000"/>
          <w:sz w:val="36"/>
          <w:szCs w:val="24"/>
          <w:lang w:val="en-US" w:eastAsia="pl-PL"/>
        </w:rPr>
      </w:pPr>
      <w:bookmarkStart w:id="5" w:name="_Toc76988212"/>
      <w:r w:rsidRPr="002536ED">
        <w:rPr>
          <w:rFonts w:ascii="Times New Roman" w:eastAsia="Arial" w:hAnsi="Times New Roman" w:cs="Times New Roman"/>
          <w:b/>
          <w:color w:val="000000"/>
          <w:sz w:val="36"/>
          <w:szCs w:val="24"/>
          <w:lang w:val="en-US" w:eastAsia="pl-PL"/>
        </w:rPr>
        <w:lastRenderedPageBreak/>
        <w:t>Summary</w:t>
      </w:r>
      <w:bookmarkEnd w:id="5"/>
    </w:p>
    <w:p w14:paraId="1F69E6D4"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val="en-US" w:eastAsia="pl-PL"/>
        </w:rPr>
      </w:pPr>
      <w:r w:rsidRPr="002536ED">
        <w:rPr>
          <w:rFonts w:ascii="Times New Roman" w:eastAsia="Arial" w:hAnsi="Times New Roman" w:cs="Arial"/>
          <w:color w:val="000000"/>
          <w:sz w:val="24"/>
          <w:szCs w:val="23"/>
          <w:lang w:val="en-US" w:eastAsia="pl-PL"/>
        </w:rPr>
        <w:t>Polybrominated diphenyl ethers (PBDEs) are synthetic chemicals used for many years as flame retardants of plastic. There are 209 possible PBDE congeners with different numbers and locations of bromine atoms. Their molecules are not chemically bound to the polymers and gradually escape from products which contain them over time. They have the potential to bio-accumulate in lipid tissue and biomagnify in the food chain, and could be transferred to the food of animal origin. Repeated dietary exposure to low doses of PBDEs leads to their accumulation in the body and occurrence of toxic effects. In 2014, European Commission issued a recommendation (2014/118/EC) on the monitoring of the presence of ten PBDE congeners in food basis on the Scientific Opinion of the European Food Safety Authority (EFSA).</w:t>
      </w:r>
      <w:r w:rsidRPr="002536ED">
        <w:rPr>
          <w:lang w:val="en-US"/>
        </w:rPr>
        <w:t xml:space="preserve"> </w:t>
      </w:r>
      <w:r w:rsidRPr="002536ED">
        <w:rPr>
          <w:rFonts w:ascii="Times New Roman" w:eastAsia="Arial" w:hAnsi="Times New Roman" w:cs="Arial"/>
          <w:color w:val="000000"/>
          <w:sz w:val="24"/>
          <w:szCs w:val="23"/>
          <w:lang w:val="en-US" w:eastAsia="pl-PL"/>
        </w:rPr>
        <w:t>The aim of the study was the assessment of PBDEs occurrence in food of animal origin, the estimation of their daily intake with the diet, and risk assessment to consumers' health.</w:t>
      </w:r>
    </w:p>
    <w:p w14:paraId="3CC91E52"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val="en-US" w:eastAsia="pl-PL"/>
        </w:rPr>
      </w:pPr>
      <w:r w:rsidRPr="002536ED">
        <w:rPr>
          <w:rFonts w:ascii="Times New Roman" w:eastAsia="Arial" w:hAnsi="Times New Roman" w:cs="Arial"/>
          <w:color w:val="000000"/>
          <w:sz w:val="24"/>
          <w:szCs w:val="23"/>
          <w:lang w:val="en-US" w:eastAsia="pl-PL"/>
        </w:rPr>
        <w:t>The introduction presents information about PBDE production, use and release into the environment. Uptake, metabolism, excretion, and toxicity of PBDEs were widely discussed. The development of the method of 10 PBDE congeners quantification in food of animal origin by gas chromatography coupled with high-resolution mass spectrometry was described. Particular attention was paid to obtain the proper chromatographic separation of congeners from matrix components. The developed method has been validated and positively verified in international proficiency tests. The method has been included in the national program of PBDE control in animals and animal products.</w:t>
      </w:r>
    </w:p>
    <w:p w14:paraId="0A9CF853"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val="en-US" w:eastAsia="pl-PL"/>
        </w:rPr>
      </w:pPr>
      <w:r w:rsidRPr="002536ED">
        <w:rPr>
          <w:rFonts w:ascii="Times New Roman" w:eastAsia="Arial" w:hAnsi="Times New Roman" w:cs="Arial"/>
          <w:color w:val="000000"/>
          <w:sz w:val="24"/>
          <w:szCs w:val="23"/>
          <w:lang w:val="en-US" w:eastAsia="pl-PL"/>
        </w:rPr>
        <w:t>Just over 400 samples of food of animal origin, including 199 meat samples of nine farm animal species, 99 samples of hen eggs from the different breeding systems, 87 samples of fresh milk (cow, goat, and sheep), and 16 samples of infant formula were tested. The presence of at least one PBDE congener was found in 99% of samples, which indicates the common pollution of Polish food of animal origin. The highest median concentrations of sum PBDE were found in mutton (46.7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xml:space="preserve"> fresh weight), organic eggs (58.6 pg·g</w:t>
      </w:r>
      <w:r w:rsidRPr="002536ED">
        <w:rPr>
          <w:rFonts w:ascii="Times New Roman" w:eastAsia="Arial" w:hAnsi="Times New Roman" w:cs="Arial"/>
          <w:color w:val="000000"/>
          <w:sz w:val="24"/>
          <w:szCs w:val="23"/>
          <w:vertAlign w:val="superscript"/>
          <w:lang w:val="en-US" w:eastAsia="pl-PL"/>
        </w:rPr>
        <w:noBreakHyphen/>
        <w:t>1</w:t>
      </w:r>
      <w:r w:rsidRPr="002536ED">
        <w:rPr>
          <w:rFonts w:ascii="Times New Roman" w:eastAsia="Arial" w:hAnsi="Times New Roman" w:cs="Arial"/>
          <w:color w:val="000000"/>
          <w:sz w:val="24"/>
          <w:szCs w:val="23"/>
          <w:lang w:val="en-US" w:eastAsia="pl-PL"/>
        </w:rPr>
        <w:t xml:space="preserve"> fresh weight), and sheep milk (16</w:t>
      </w:r>
      <w:r w:rsidRPr="002536ED">
        <w:rPr>
          <w:lang w:val="en-US"/>
        </w:rPr>
        <w:t> </w:t>
      </w:r>
      <w:r w:rsidRPr="002536ED">
        <w:rPr>
          <w:rFonts w:ascii="Times New Roman" w:eastAsia="Arial" w:hAnsi="Times New Roman" w:cs="Arial"/>
          <w:color w:val="000000"/>
          <w:sz w:val="24"/>
          <w:szCs w:val="23"/>
          <w:lang w:val="en-US" w:eastAsia="pl-PL"/>
        </w:rPr>
        <w:t>pg·mL</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The lowest median concentrations of sum PBDE were found in the meat of farmed deer (11.6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xml:space="preserve"> fresh weight), cage eggs (45.3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xml:space="preserve"> fresh weight), and cow's milk (6.7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mL</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The maximum detected concentrations were 666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xml:space="preserve"> fresh weight in pork sample, 1351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t>-1</w:t>
      </w:r>
      <w:r w:rsidRPr="002536ED">
        <w:rPr>
          <w:rFonts w:ascii="Times New Roman" w:eastAsia="Arial" w:hAnsi="Times New Roman" w:cs="Arial"/>
          <w:color w:val="000000"/>
          <w:sz w:val="24"/>
          <w:szCs w:val="23"/>
          <w:lang w:val="en-US" w:eastAsia="pl-PL"/>
        </w:rPr>
        <w:t xml:space="preserve"> fresh weight in organic eggs, and 1162 pg</w:t>
      </w:r>
      <w:r w:rsidRPr="002536ED">
        <w:rPr>
          <w:rFonts w:ascii="Times New Roman" w:eastAsia="Arial" w:hAnsi="Times New Roman" w:cs="Times New Roman"/>
          <w:color w:val="000000"/>
          <w:sz w:val="24"/>
          <w:szCs w:val="23"/>
          <w:lang w:val="en-US" w:eastAsia="pl-PL"/>
        </w:rPr>
        <w:t>·</w:t>
      </w:r>
      <w:r w:rsidRPr="002536ED">
        <w:rPr>
          <w:rFonts w:ascii="Times New Roman" w:eastAsia="Arial" w:hAnsi="Times New Roman" w:cs="Arial"/>
          <w:color w:val="000000"/>
          <w:sz w:val="24"/>
          <w:szCs w:val="23"/>
          <w:lang w:val="en-US" w:eastAsia="pl-PL"/>
        </w:rPr>
        <w:t>g</w:t>
      </w:r>
      <w:r w:rsidRPr="002536ED">
        <w:rPr>
          <w:rFonts w:ascii="Times New Roman" w:eastAsia="Arial" w:hAnsi="Times New Roman" w:cs="Arial"/>
          <w:color w:val="000000"/>
          <w:sz w:val="24"/>
          <w:szCs w:val="23"/>
          <w:vertAlign w:val="superscript"/>
          <w:lang w:val="en-US" w:eastAsia="pl-PL"/>
        </w:rPr>
        <w:noBreakHyphen/>
        <w:t>1</w:t>
      </w:r>
      <w:r w:rsidRPr="002536ED">
        <w:rPr>
          <w:rFonts w:ascii="Times New Roman" w:eastAsia="Arial" w:hAnsi="Times New Roman" w:cs="Arial"/>
          <w:color w:val="000000"/>
          <w:sz w:val="24"/>
          <w:szCs w:val="23"/>
          <w:lang w:val="en-US" w:eastAsia="pl-PL"/>
        </w:rPr>
        <w:t xml:space="preserve"> fresh weight in sheep milk. BDE-47 was the most frequently detected congener, it was determined in more than 95% of the tested samples. For the most of samples, BDE-209 was the dominant congener. </w:t>
      </w:r>
    </w:p>
    <w:p w14:paraId="42EF3509"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val="en-US" w:eastAsia="pl-PL"/>
        </w:rPr>
      </w:pPr>
      <w:r w:rsidRPr="002536ED">
        <w:rPr>
          <w:rFonts w:ascii="Times New Roman" w:eastAsia="Arial" w:hAnsi="Times New Roman" w:cs="Arial"/>
          <w:color w:val="000000"/>
          <w:sz w:val="24"/>
          <w:szCs w:val="23"/>
          <w:lang w:val="en-US" w:eastAsia="pl-PL"/>
        </w:rPr>
        <w:lastRenderedPageBreak/>
        <w:t>The adults, children, and infants’ exposures to PBDE were determined based on the statistical and recommended consumption of food of animal origin in Poland. Taking into account the median concentration of PBDE, it was found that milk and its products are the main sources of these compounds in the diet. In the worst-case scenario (95</w:t>
      </w:r>
      <w:r w:rsidRPr="002536ED">
        <w:rPr>
          <w:rFonts w:ascii="Times New Roman" w:eastAsia="Arial" w:hAnsi="Times New Roman" w:cs="Arial"/>
          <w:color w:val="000000"/>
          <w:sz w:val="24"/>
          <w:szCs w:val="23"/>
          <w:vertAlign w:val="superscript"/>
          <w:lang w:val="en-US" w:eastAsia="pl-PL"/>
        </w:rPr>
        <w:t>th</w:t>
      </w:r>
      <w:r w:rsidRPr="002536ED">
        <w:rPr>
          <w:rFonts w:ascii="Times New Roman" w:eastAsia="Arial" w:hAnsi="Times New Roman" w:cs="Arial"/>
          <w:color w:val="000000"/>
          <w:sz w:val="24"/>
          <w:szCs w:val="23"/>
          <w:lang w:val="en-US" w:eastAsia="pl-PL"/>
        </w:rPr>
        <w:t xml:space="preserve"> percentile of concentration) adults could be the most exposed through pork consumption. The most exposed to PBDE were infants, and infant formula was identified as the important source of these contaminants. </w:t>
      </w:r>
    </w:p>
    <w:p w14:paraId="6DD26C8A" w14:textId="77777777" w:rsidR="004C29E0" w:rsidRPr="002536ED" w:rsidRDefault="004C29E0" w:rsidP="004C29E0">
      <w:pPr>
        <w:tabs>
          <w:tab w:val="left" w:pos="3828"/>
        </w:tabs>
        <w:spacing w:before="120" w:after="120" w:line="360" w:lineRule="auto"/>
        <w:ind w:firstLine="567"/>
        <w:contextualSpacing/>
        <w:jc w:val="both"/>
        <w:rPr>
          <w:rFonts w:ascii="Times New Roman" w:eastAsia="Arial" w:hAnsi="Times New Roman" w:cs="Arial"/>
          <w:color w:val="000000"/>
          <w:sz w:val="24"/>
          <w:szCs w:val="23"/>
          <w:lang w:val="en-US" w:eastAsia="pl-PL"/>
        </w:rPr>
      </w:pPr>
      <w:r w:rsidRPr="002536ED">
        <w:rPr>
          <w:rFonts w:ascii="Times New Roman" w:eastAsia="Arial" w:hAnsi="Times New Roman" w:cs="Arial"/>
          <w:color w:val="000000"/>
          <w:sz w:val="24"/>
          <w:szCs w:val="23"/>
          <w:lang w:val="en-US" w:eastAsia="pl-PL"/>
        </w:rPr>
        <w:t xml:space="preserve">The risk assessment was performed using the margin of exposure (MOE) in line with the EFSA Scientific Opinion. The MOEs were determined for four congeners with known chronic dietary intakes values. Based on the results, it can be concluded that the presence of polybrominated diphenyl ethers in Polish food of animal origin should not pose a risk to the health of consumers. </w:t>
      </w:r>
    </w:p>
    <w:p w14:paraId="3C9AD4E8" w14:textId="77777777" w:rsidR="004C29E0" w:rsidRDefault="004C29E0" w:rsidP="004C29E0">
      <w:pPr>
        <w:rPr>
          <w:lang w:val="en-US"/>
        </w:rPr>
      </w:pPr>
    </w:p>
    <w:p w14:paraId="3FCA18ED" w14:textId="58B197D7" w:rsidR="000F7376" w:rsidRPr="004C29E0" w:rsidRDefault="000F7376" w:rsidP="004C29E0">
      <w:pPr>
        <w:rPr>
          <w:lang w:val="en-US"/>
        </w:rPr>
      </w:pPr>
    </w:p>
    <w:sectPr w:rsidR="000F7376" w:rsidRPr="004C29E0">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2FF3" w14:textId="77777777" w:rsidR="00AC2424" w:rsidRDefault="00AC2424">
      <w:pPr>
        <w:spacing w:after="0" w:line="240" w:lineRule="auto"/>
      </w:pPr>
      <w:r>
        <w:separator/>
      </w:r>
    </w:p>
  </w:endnote>
  <w:endnote w:type="continuationSeparator" w:id="0">
    <w:p w14:paraId="3123890F" w14:textId="77777777" w:rsidR="00AC2424" w:rsidRDefault="00AC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77B1" w14:textId="77777777" w:rsidR="00AC2424" w:rsidRDefault="00AC2424">
      <w:pPr>
        <w:spacing w:after="0" w:line="240" w:lineRule="auto"/>
      </w:pPr>
      <w:r>
        <w:separator/>
      </w:r>
    </w:p>
  </w:footnote>
  <w:footnote w:type="continuationSeparator" w:id="0">
    <w:p w14:paraId="4EC52657" w14:textId="77777777" w:rsidR="00AC2424" w:rsidRDefault="00AC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0BA" w14:textId="77777777" w:rsidR="00E3777B" w:rsidRPr="00BD6009" w:rsidRDefault="00AC2424" w:rsidP="00880D5D">
    <w:pPr>
      <w:pStyle w:val="Nagwek"/>
      <w:pBdr>
        <w:bottom w:val="single" w:sz="4" w:space="1" w:color="D9D9D9" w:themeColor="background1" w:themeShade="D9"/>
      </w:pBdr>
      <w:tabs>
        <w:tab w:val="clear" w:pos="4536"/>
        <w:tab w:val="clear" w:pos="9072"/>
        <w:tab w:val="left" w:pos="7136"/>
      </w:tabs>
      <w:rPr>
        <w:b/>
        <w:bCs/>
      </w:rPr>
    </w:pPr>
    <w:sdt>
      <w:sdtPr>
        <w:id w:val="-1407604585"/>
        <w:docPartObj>
          <w:docPartGallery w:val="Page Numbers (Top of Page)"/>
          <w:docPartUnique/>
        </w:docPartObj>
      </w:sdtPr>
      <w:sdtEndPr>
        <w:rPr>
          <w:color w:val="7F7F7F" w:themeColor="background1" w:themeShade="7F"/>
          <w:spacing w:val="60"/>
        </w:rPr>
      </w:sdtEndPr>
      <w:sdtContent>
        <w:r w:rsidR="004C29E0">
          <w:fldChar w:fldCharType="begin"/>
        </w:r>
        <w:r w:rsidR="004C29E0">
          <w:instrText>PAGE   \* MERGEFORMAT</w:instrText>
        </w:r>
        <w:r w:rsidR="004C29E0">
          <w:fldChar w:fldCharType="separate"/>
        </w:r>
        <w:r w:rsidR="004C29E0" w:rsidRPr="003C6A21">
          <w:rPr>
            <w:b/>
            <w:bCs/>
            <w:noProof/>
          </w:rPr>
          <w:t>24</w:t>
        </w:r>
        <w:r w:rsidR="004C29E0">
          <w:rPr>
            <w:b/>
            <w:bCs/>
          </w:rPr>
          <w:fldChar w:fldCharType="end"/>
        </w:r>
        <w:r w:rsidR="004C29E0">
          <w:rPr>
            <w:b/>
            <w:bCs/>
          </w:rPr>
          <w:t xml:space="preserve"> | </w:t>
        </w:r>
        <w:r w:rsidR="004C29E0">
          <w:rPr>
            <w:color w:val="7F7F7F" w:themeColor="background1" w:themeShade="7F"/>
            <w:spacing w:val="60"/>
          </w:rPr>
          <w:t>Strona</w:t>
        </w:r>
      </w:sdtContent>
    </w:sdt>
    <w:r w:rsidR="004C29E0">
      <w:rPr>
        <w:color w:val="7F7F7F" w:themeColor="background1" w:themeShade="7F"/>
        <w:spacing w:val="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46DB"/>
    <w:multiLevelType w:val="hybridMultilevel"/>
    <w:tmpl w:val="1A66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F4E9B"/>
    <w:multiLevelType w:val="hybridMultilevel"/>
    <w:tmpl w:val="D22EE4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F7376"/>
    <w:rsid w:val="004C29E0"/>
    <w:rsid w:val="00AC2424"/>
    <w:rsid w:val="00C20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FE17"/>
  <w15:chartTrackingRefBased/>
  <w15:docId w15:val="{CDAF211E-2AB8-4898-94D6-8193827E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9E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29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i.org/10.1016/j.chemosphere.2021.1304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chemosphere.2019.0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hemosphere.2019.02.0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microc.2020.105319" TargetMode="External"/><Relationship Id="rId4" Type="http://schemas.openxmlformats.org/officeDocument/2006/relationships/settings" Target="settings.xml"/><Relationship Id="rId9" Type="http://schemas.openxmlformats.org/officeDocument/2006/relationships/hyperlink" Target="https://doi.org/10.1016/j.talanta.2017.02.043"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56A3-4386-42B6-9099-DD997F60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1515</Words>
  <Characters>9091</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Stateczna</dc:creator>
  <cp:keywords/>
  <dc:description/>
  <cp:lastModifiedBy>K. Stateczna</cp:lastModifiedBy>
  <cp:revision>2</cp:revision>
  <dcterms:created xsi:type="dcterms:W3CDTF">2022-08-01T10:54:00Z</dcterms:created>
  <dcterms:modified xsi:type="dcterms:W3CDTF">2022-08-01T12:12:00Z</dcterms:modified>
</cp:coreProperties>
</file>